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FF" w:rsidRDefault="00335E38">
      <w:pPr>
        <w:pStyle w:val="1"/>
        <w:spacing w:after="600"/>
        <w:ind w:firstLine="0"/>
        <w:jc w:val="right"/>
      </w:pPr>
      <w:r>
        <w:rPr>
          <w:color w:val="808080"/>
        </w:rPr>
        <w:t>ПРОЕКТ</w:t>
      </w:r>
    </w:p>
    <w:p w:rsidR="006157FF" w:rsidRDefault="00335E38">
      <w:pPr>
        <w:pStyle w:val="1"/>
        <w:ind w:firstLine="0"/>
        <w:jc w:val="center"/>
      </w:pPr>
      <w:r>
        <w:t>МУНИЦИПАЛЬНОЕ ОБРАЗОВАНИЕ</w:t>
      </w:r>
      <w:r>
        <w:br/>
        <w:t>ХАНТЫ-МАНСИЙСКИЙ РАЙОН</w:t>
      </w:r>
    </w:p>
    <w:p w:rsidR="006157FF" w:rsidRDefault="00335E38">
      <w:pPr>
        <w:pStyle w:val="1"/>
        <w:spacing w:after="280"/>
        <w:ind w:firstLine="0"/>
        <w:jc w:val="center"/>
      </w:pPr>
      <w:r>
        <w:t>Ханты-Мансийский автономный округ - Югра</w:t>
      </w:r>
    </w:p>
    <w:p w:rsidR="006157FF" w:rsidRDefault="00335E38">
      <w:pPr>
        <w:pStyle w:val="1"/>
        <w:spacing w:after="280"/>
        <w:ind w:firstLine="0"/>
        <w:jc w:val="center"/>
      </w:pPr>
      <w:r>
        <w:rPr>
          <w:b/>
          <w:bCs/>
        </w:rPr>
        <w:t>АДМИНИСТРАЦИЯ ХАНТЫ-МАНСИЙСКОГО РАЙОНА</w:t>
      </w:r>
    </w:p>
    <w:p w:rsidR="006157FF" w:rsidRDefault="00335E38">
      <w:pPr>
        <w:pStyle w:val="1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190500</wp:posOffset>
                </wp:positionV>
                <wp:extent cx="511810" cy="2527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7FF" w:rsidRDefault="00335E38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№ 000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92.85pt;margin-top:15pt;width:40.3pt;height:19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" filled="f" stroked="f">
                <v:textbox inset="0,0,0,0">
                  <w:txbxContent>
                    <w:p w:rsidR="006157FF" w:rsidRDefault="00335E38">
                      <w:pPr>
                        <w:pStyle w:val="1"/>
                        <w:ind w:firstLine="0"/>
                        <w:jc w:val="right"/>
                      </w:pPr>
                      <w:r>
                        <w:t>№ 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П О С Т А Н О В Л Е Н И Е</w:t>
      </w:r>
    </w:p>
    <w:p w:rsidR="006157FF" w:rsidRDefault="000F62DF">
      <w:pPr>
        <w:pStyle w:val="1"/>
        <w:ind w:firstLine="0"/>
      </w:pPr>
      <w:r>
        <w:t>от 00.00.2026</w:t>
      </w:r>
    </w:p>
    <w:p w:rsidR="006157FF" w:rsidRDefault="00335E38">
      <w:pPr>
        <w:pStyle w:val="20"/>
      </w:pPr>
      <w:r>
        <w:t>г. Ханты-Мансийск</w:t>
      </w:r>
    </w:p>
    <w:p w:rsidR="00701D6C" w:rsidRDefault="00335E38" w:rsidP="00701D6C">
      <w:pPr>
        <w:pStyle w:val="1"/>
        <w:ind w:firstLine="0"/>
      </w:pPr>
      <w:r>
        <w:t xml:space="preserve">О внесении изменений в постановление </w:t>
      </w:r>
    </w:p>
    <w:p w:rsidR="00701D6C" w:rsidRDefault="00335E38" w:rsidP="00701D6C">
      <w:pPr>
        <w:pStyle w:val="1"/>
        <w:ind w:firstLine="0"/>
      </w:pPr>
      <w:r>
        <w:t xml:space="preserve">Администрации Ханты-Мансийского района </w:t>
      </w:r>
    </w:p>
    <w:p w:rsidR="00701D6C" w:rsidRDefault="00335E38" w:rsidP="00701D6C">
      <w:pPr>
        <w:pStyle w:val="1"/>
        <w:ind w:firstLine="0"/>
      </w:pPr>
      <w:r>
        <w:t xml:space="preserve">от </w:t>
      </w:r>
      <w:r w:rsidR="008D1045">
        <w:t>03</w:t>
      </w:r>
      <w:r>
        <w:t>.</w:t>
      </w:r>
      <w:r w:rsidR="008D1045">
        <w:t>12</w:t>
      </w:r>
      <w:r>
        <w:t xml:space="preserve">.2024 № </w:t>
      </w:r>
      <w:r w:rsidR="008D1045">
        <w:t>1013</w:t>
      </w:r>
      <w:r>
        <w:t xml:space="preserve"> «Об утверждении По</w:t>
      </w:r>
      <w:r w:rsidR="008D1045">
        <w:t>рядка</w:t>
      </w:r>
      <w:r>
        <w:t xml:space="preserve"> </w:t>
      </w:r>
    </w:p>
    <w:p w:rsidR="008D1045" w:rsidRDefault="00335E38" w:rsidP="008D1045">
      <w:pPr>
        <w:pStyle w:val="1"/>
        <w:ind w:firstLine="0"/>
      </w:pPr>
      <w:r>
        <w:t>установлени</w:t>
      </w:r>
      <w:r w:rsidR="008D1045">
        <w:t>я</w:t>
      </w:r>
      <w:r>
        <w:t xml:space="preserve"> </w:t>
      </w:r>
      <w:r w:rsidR="008D1045" w:rsidRPr="008D1045">
        <w:t xml:space="preserve">стимулирующих выплат руководителям </w:t>
      </w:r>
    </w:p>
    <w:p w:rsidR="00701D6C" w:rsidRDefault="008D1045" w:rsidP="008D1045">
      <w:pPr>
        <w:pStyle w:val="1"/>
        <w:ind w:firstLine="0"/>
      </w:pPr>
      <w:r w:rsidRPr="008D1045">
        <w:t xml:space="preserve">муниципальных </w:t>
      </w:r>
      <w:r w:rsidR="00335E38">
        <w:t>образовательных организаци</w:t>
      </w:r>
      <w:r>
        <w:t>й</w:t>
      </w:r>
      <w:r w:rsidR="00335E38">
        <w:t xml:space="preserve"> </w:t>
      </w:r>
    </w:p>
    <w:p w:rsidR="00701D6C" w:rsidRDefault="00335E38" w:rsidP="00701D6C">
      <w:pPr>
        <w:pStyle w:val="1"/>
        <w:ind w:firstLine="0"/>
      </w:pPr>
      <w:r>
        <w:t xml:space="preserve">Ханты-Мансийского района, подведомственных </w:t>
      </w:r>
    </w:p>
    <w:p w:rsidR="00701D6C" w:rsidRDefault="00335E38" w:rsidP="00701D6C">
      <w:pPr>
        <w:pStyle w:val="1"/>
        <w:ind w:firstLine="0"/>
      </w:pPr>
      <w:r>
        <w:t xml:space="preserve">комитету по образованию Администрации </w:t>
      </w:r>
    </w:p>
    <w:p w:rsidR="006157FF" w:rsidRDefault="00335E38" w:rsidP="00701D6C">
      <w:pPr>
        <w:pStyle w:val="1"/>
        <w:ind w:firstLine="0"/>
      </w:pPr>
      <w:r>
        <w:t>Ханты-Мансийского района»</w:t>
      </w:r>
    </w:p>
    <w:p w:rsidR="00701D6C" w:rsidRDefault="00701D6C" w:rsidP="00701D6C">
      <w:pPr>
        <w:pStyle w:val="1"/>
        <w:ind w:firstLine="0"/>
      </w:pPr>
    </w:p>
    <w:p w:rsidR="006157FF" w:rsidRDefault="00335E38" w:rsidP="006F71A1">
      <w:pPr>
        <w:pStyle w:val="1"/>
        <w:spacing w:after="280"/>
        <w:ind w:firstLine="580"/>
        <w:jc w:val="both"/>
      </w:pPr>
      <w:r>
        <w:t>В целях приведения муниципальных правовых актов</w:t>
      </w:r>
      <w:r w:rsidR="006917A8">
        <w:t xml:space="preserve"> Ханты-Мансийского района</w:t>
      </w:r>
      <w:r>
        <w:t xml:space="preserve"> в соответствие с действующим законодательством, руководствуясь статьей 32 Устава Ханты-Мансийского района:</w:t>
      </w:r>
    </w:p>
    <w:p w:rsidR="006157FF" w:rsidRDefault="00335E38" w:rsidP="006F71A1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 xml:space="preserve">Внести в приложение </w:t>
      </w:r>
      <w:r w:rsidR="008D1045">
        <w:t xml:space="preserve">1 </w:t>
      </w:r>
      <w:r>
        <w:t xml:space="preserve">к постановлению Администрации Ханты-Мансийского района от </w:t>
      </w:r>
      <w:r w:rsidR="008D1045">
        <w:t>03.12</w:t>
      </w:r>
      <w:r>
        <w:t xml:space="preserve">.2024 № </w:t>
      </w:r>
      <w:r w:rsidR="008D1045">
        <w:t>1013</w:t>
      </w:r>
      <w:r>
        <w:t xml:space="preserve"> «</w:t>
      </w:r>
      <w:r w:rsidR="008D1045" w:rsidRPr="008D1045">
        <w:t>Об утверждении Порядка установления стимулирующих выплат руководителям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</w:t>
      </w:r>
      <w:r>
        <w:t xml:space="preserve">» (далее- </w:t>
      </w:r>
      <w:r w:rsidR="008D1045">
        <w:t>Порядок</w:t>
      </w:r>
      <w:r>
        <w:t>) следующие изменения:</w:t>
      </w:r>
    </w:p>
    <w:p w:rsidR="006157FF" w:rsidRDefault="006157FF">
      <w:pPr>
        <w:spacing w:line="1" w:lineRule="exact"/>
      </w:pPr>
    </w:p>
    <w:p w:rsidR="006157FF" w:rsidRDefault="006157FF" w:rsidP="00F67FC1">
      <w:pPr>
        <w:pStyle w:val="1"/>
        <w:ind w:firstLine="0"/>
      </w:pPr>
    </w:p>
    <w:p w:rsidR="006917A8" w:rsidRDefault="00335E38" w:rsidP="006917A8">
      <w:pPr>
        <w:pStyle w:val="1"/>
        <w:numPr>
          <w:ilvl w:val="1"/>
          <w:numId w:val="1"/>
        </w:numPr>
        <w:spacing w:line="230" w:lineRule="auto"/>
        <w:ind w:firstLine="560"/>
        <w:jc w:val="both"/>
      </w:pPr>
      <w:r>
        <w:t xml:space="preserve">Таблицу </w:t>
      </w:r>
      <w:r w:rsidR="008D1045">
        <w:t>1</w:t>
      </w:r>
      <w:r>
        <w:t xml:space="preserve"> приложения 1 </w:t>
      </w:r>
      <w:r w:rsidR="008D1045">
        <w:t xml:space="preserve">раздела </w:t>
      </w:r>
      <w:r w:rsidR="008D1045">
        <w:rPr>
          <w:lang w:val="en-US"/>
        </w:rPr>
        <w:t>II</w:t>
      </w:r>
      <w:r w:rsidR="008D1045" w:rsidRPr="008D1045">
        <w:t xml:space="preserve"> </w:t>
      </w:r>
      <w:r>
        <w:t xml:space="preserve">к </w:t>
      </w:r>
      <w:r w:rsidR="008D1045">
        <w:t>Порядку</w:t>
      </w:r>
      <w:r>
        <w:t xml:space="preserve"> изложить в следующей</w:t>
      </w:r>
      <w:r w:rsidR="006917A8">
        <w:t xml:space="preserve"> </w:t>
      </w:r>
      <w:r>
        <w:t xml:space="preserve">редакции: </w:t>
      </w:r>
    </w:p>
    <w:p w:rsidR="006157FF" w:rsidRDefault="00335E38" w:rsidP="006917A8">
      <w:pPr>
        <w:pStyle w:val="1"/>
        <w:spacing w:line="230" w:lineRule="auto"/>
        <w:ind w:left="560" w:firstLine="0"/>
        <w:jc w:val="both"/>
      </w:pPr>
      <w:r>
        <w:t>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680"/>
        <w:gridCol w:w="2240"/>
        <w:gridCol w:w="2521"/>
        <w:gridCol w:w="2240"/>
      </w:tblGrid>
      <w:tr w:rsidR="00F378CA" w:rsidRPr="00636706" w:rsidTr="00F378CA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N</w:t>
            </w:r>
            <w:r w:rsidRPr="00636706">
              <w:br/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Наименование выплаты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Диапазон выплаты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Условия осуществления выплаты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Периодичность осуществления выплаты</w:t>
            </w:r>
          </w:p>
        </w:tc>
      </w:tr>
      <w:tr w:rsidR="00F378CA" w:rsidRPr="00636706" w:rsidTr="00F378CA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5</w:t>
            </w:r>
          </w:p>
        </w:tc>
      </w:tr>
      <w:tr w:rsidR="00F378CA" w:rsidRPr="00636706" w:rsidTr="00F378CA"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1.1.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Выплата за интенсивность и высокие результаты 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 xml:space="preserve">до 2% от объема средств приносящей доход деятельности (платные </w:t>
            </w:r>
            <w:r w:rsidRPr="00636706">
              <w:lastRenderedPageBreak/>
              <w:t>образовательные услуги)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lastRenderedPageBreak/>
              <w:t xml:space="preserve">фактическое поступление средств на лицевой счет учреждения по приносящей доход </w:t>
            </w:r>
            <w:r w:rsidRPr="00636706">
              <w:lastRenderedPageBreak/>
              <w:t>деятельности (платные образовательные услуги) при условии достижения плановых показателей доход от платной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lastRenderedPageBreak/>
              <w:t>единовременно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1 раз в год в январе по итогам предыдущего года</w:t>
            </w:r>
          </w:p>
        </w:tc>
      </w:tr>
      <w:tr w:rsidR="00F378CA" w:rsidRPr="00636706" w:rsidTr="00F378CA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10 000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единовременно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в течение месяца после получения награды;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выплачивается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на физическое лицо по основному месту работы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и основной занимаемой должности</w:t>
            </w:r>
          </w:p>
        </w:tc>
      </w:tr>
      <w:tr w:rsidR="00F378CA" w:rsidRPr="00636706" w:rsidTr="00F378CA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7 000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</w:tr>
      <w:tr w:rsidR="00F378CA" w:rsidRPr="00636706" w:rsidTr="00F378CA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5 000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присуждение награды (медали, знаки, почетные звания) автономного округа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</w:tr>
      <w:tr w:rsidR="00F378CA" w:rsidRPr="00636706" w:rsidTr="00F378CA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3 000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</w:tr>
      <w:tr w:rsidR="00F378CA" w:rsidRPr="00636706" w:rsidTr="00F378CA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7 000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</w:tr>
      <w:tr w:rsidR="00F378CA" w:rsidRPr="00636706" w:rsidTr="00F378CA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3 000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</w:tr>
      <w:tr w:rsidR="00F378CA" w:rsidRPr="00636706" w:rsidTr="00F378CA"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1.2.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 xml:space="preserve">Выплата за качество выполняемой </w:t>
            </w:r>
            <w:r w:rsidRPr="00636706">
              <w:lastRenderedPageBreak/>
              <w:t>работы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lastRenderedPageBreak/>
              <w:t xml:space="preserve">0 - </w:t>
            </w:r>
            <w:r w:rsidRPr="00F378CA">
              <w:t>60% от</w:t>
            </w:r>
            <w:r w:rsidRPr="00636706">
              <w:t xml:space="preserve"> должностного оклада</w:t>
            </w:r>
          </w:p>
          <w:p w:rsidR="00F378CA" w:rsidRPr="00636706" w:rsidRDefault="00F378CA" w:rsidP="000C06B0">
            <w:pPr>
              <w:pStyle w:val="a8"/>
            </w:pPr>
            <w:r w:rsidRPr="00636706">
              <w:lastRenderedPageBreak/>
              <w:t xml:space="preserve">(для вновь принятых на срок 1 год - не </w:t>
            </w:r>
            <w:r w:rsidRPr="00F378CA">
              <w:rPr>
                <w:color w:val="000000" w:themeColor="text1"/>
              </w:rPr>
              <w:t>более 10%)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lastRenderedPageBreak/>
              <w:t xml:space="preserve">в соответствии с показателями эффективности </w:t>
            </w:r>
            <w:r w:rsidRPr="00636706">
              <w:lastRenderedPageBreak/>
              <w:t>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F378CA">
              <w:rPr>
                <w:lang w:bidi="ru-RU"/>
              </w:rPr>
              <w:lastRenderedPageBreak/>
              <w:t xml:space="preserve">ежемесячно, в пределах утвержденного </w:t>
            </w:r>
            <w:r w:rsidRPr="00F378CA">
              <w:rPr>
                <w:lang w:bidi="ru-RU"/>
              </w:rPr>
              <w:lastRenderedPageBreak/>
              <w:t>фонда оплаты труда</w:t>
            </w:r>
          </w:p>
        </w:tc>
      </w:tr>
      <w:tr w:rsidR="00F378CA" w:rsidRPr="00636706" w:rsidTr="00F378CA"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в абсолютном размере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за особые достижения при выполнении услуг (работ) по факту получения результата в соответствии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с показателями эффективности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единовременно в пределах экономии средств по фонду оплаты труда</w:t>
            </w:r>
          </w:p>
        </w:tc>
      </w:tr>
      <w:tr w:rsidR="00F378CA" w:rsidRPr="00636706" w:rsidTr="00F378CA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1.3.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Выплата по итогам работы за месяц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до 10% от должностного оклада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за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ежемесячно в пределах экономии средств по фонду оплаты труда</w:t>
            </w:r>
          </w:p>
        </w:tc>
      </w:tr>
      <w:tr w:rsidR="00F378CA" w:rsidRPr="00636706" w:rsidTr="00F378CA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1.4.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Выплата по итогам работы за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 xml:space="preserve">0 - 2-х окладов (должностных окладов) с применением </w:t>
            </w:r>
            <w:hyperlink r:id="rId7" w:history="1">
              <w:r w:rsidRPr="00636706">
                <w:rPr>
                  <w:rStyle w:val="a6"/>
                  <w:rFonts w:cs="Times New Roman CYR"/>
                </w:rPr>
                <w:t>районного коэффициента</w:t>
              </w:r>
            </w:hyperlink>
            <w:r w:rsidRPr="00636706">
              <w:t xml:space="preserve"> и процентной надбавки за стаж работы в местностях, приравненных к районам Крайнего Севера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за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1 раз в год в декабре;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при условии соблюдения предельного уровня соотношения среднемесячной заработной платы руководителя учреждения и среднемесячной заработной платы работников учреждения (без учета заработной платы руководителя, его заместителей и главного бухгалтера); в пределах экономии средств по фонду оплаты труда;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с условием недопущения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кредиторской задолженности по заработной плате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с начислениями</w:t>
            </w:r>
          </w:p>
          <w:p w:rsidR="00F378CA" w:rsidRPr="00636706" w:rsidRDefault="00F378CA" w:rsidP="000C06B0">
            <w:pPr>
              <w:pStyle w:val="a8"/>
            </w:pPr>
            <w:r w:rsidRPr="00636706">
              <w:t>на оплату труда; обеспечении средней заработной платы отдельных категорий работников в установленном размере в пределах экономии средств по фонду оплаты труда</w:t>
            </w:r>
          </w:p>
        </w:tc>
      </w:tr>
      <w:tr w:rsidR="00F378CA" w:rsidRPr="00636706" w:rsidTr="00F378CA"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7"/>
              <w:jc w:val="center"/>
            </w:pPr>
            <w:r w:rsidRPr="00636706">
              <w:t>1.5.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Доплата за работу в сельской местности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2000 рублей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руководителям в организациях, расположенных в сельской местности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8CA" w:rsidRPr="00636706" w:rsidRDefault="00F378CA" w:rsidP="000C06B0">
            <w:pPr>
              <w:pStyle w:val="a8"/>
            </w:pPr>
            <w:r w:rsidRPr="00636706">
              <w:t>ежемесячно</w:t>
            </w:r>
          </w:p>
        </w:tc>
      </w:tr>
    </w:tbl>
    <w:p w:rsidR="006157FF" w:rsidRDefault="00335E38">
      <w:pPr>
        <w:pStyle w:val="1"/>
        <w:ind w:right="540" w:firstLine="0"/>
        <w:jc w:val="right"/>
      </w:pPr>
      <w:r>
        <w:t>».</w:t>
      </w:r>
    </w:p>
    <w:p w:rsidR="00F378CA" w:rsidRDefault="00F378CA">
      <w:pPr>
        <w:pStyle w:val="1"/>
        <w:ind w:right="540" w:firstLine="0"/>
        <w:jc w:val="right"/>
      </w:pPr>
    </w:p>
    <w:p w:rsidR="00F378CA" w:rsidRPr="00F378CA" w:rsidRDefault="00F378CA" w:rsidP="00F378CA">
      <w:pPr>
        <w:pStyle w:val="1"/>
        <w:tabs>
          <w:tab w:val="left" w:pos="9498"/>
        </w:tabs>
        <w:ind w:right="67" w:firstLine="708"/>
        <w:jc w:val="both"/>
      </w:pPr>
      <w:r w:rsidRPr="00F378CA">
        <w:t>1</w:t>
      </w:r>
      <w:r>
        <w:t xml:space="preserve">.2. </w:t>
      </w:r>
      <w:r w:rsidRPr="00F378CA">
        <w:t xml:space="preserve">Абзац первый пункта 2.5 раздела </w:t>
      </w:r>
      <w:r w:rsidRPr="00F378CA">
        <w:rPr>
          <w:lang w:val="en-US"/>
        </w:rPr>
        <w:t>II</w:t>
      </w:r>
      <w:r w:rsidRPr="00F378CA">
        <w:t xml:space="preserve"> Порядка изложить в</w:t>
      </w:r>
      <w:r>
        <w:t xml:space="preserve"> </w:t>
      </w:r>
      <w:r w:rsidRPr="00F378CA">
        <w:t>следующей редакции:</w:t>
      </w:r>
    </w:p>
    <w:p w:rsidR="00F378CA" w:rsidRPr="00F378CA" w:rsidRDefault="00F378CA" w:rsidP="00C715CF">
      <w:pPr>
        <w:pStyle w:val="1"/>
        <w:ind w:right="66" w:firstLine="708"/>
        <w:jc w:val="both"/>
      </w:pPr>
      <w:r w:rsidRPr="00F378CA">
        <w:t>«Выплата за качество выполняемой работы устанавливается в размере до 60% от оклада (должностного оклада) один раз в год в соответствии с установленными показателями эффективности деятельности муниципальных образовательных организаций Ханты-Мансийского района, подведомственных Комитету, утвержденными постановлением Администрации Ханты-Мансийского района».</w:t>
      </w:r>
    </w:p>
    <w:p w:rsidR="00F378CA" w:rsidRPr="00F378CA" w:rsidRDefault="00C715CF" w:rsidP="00C715CF">
      <w:pPr>
        <w:pStyle w:val="1"/>
        <w:ind w:right="66" w:firstLine="709"/>
        <w:jc w:val="both"/>
      </w:pPr>
      <w:r>
        <w:t xml:space="preserve">1.3. </w:t>
      </w:r>
      <w:r w:rsidR="00F378CA" w:rsidRPr="00F378CA">
        <w:t xml:space="preserve">Абзац пятый пункта 2.5 раздела </w:t>
      </w:r>
      <w:r w:rsidR="00F378CA" w:rsidRPr="00F378CA">
        <w:rPr>
          <w:lang w:val="en-US"/>
        </w:rPr>
        <w:t>II</w:t>
      </w:r>
      <w:r w:rsidR="00F378CA" w:rsidRPr="00F378CA">
        <w:t xml:space="preserve"> Порядка изложить в следующей редакции:</w:t>
      </w:r>
    </w:p>
    <w:p w:rsidR="00F378CA" w:rsidRDefault="00F378CA" w:rsidP="00866E96">
      <w:pPr>
        <w:pStyle w:val="1"/>
        <w:ind w:right="66" w:firstLine="560"/>
        <w:jc w:val="both"/>
      </w:pPr>
      <w:r w:rsidRPr="00F378CA">
        <w:t xml:space="preserve">«Руководители образовательных организаций один раз в год до 10 августа (на период с 01 сентября по 31 августа) предоставляют в Комитет на согласование материалы об эффективности деятельности в соответствии с показателями эффективности, утвержденными муниципальным правовым актом Ханты-Мансийского района. Руководители образовательных организаций несут персональную ответственность за достоверность предоставляемых данных.». </w:t>
      </w:r>
    </w:p>
    <w:p w:rsidR="00866E96" w:rsidRDefault="00866E96" w:rsidP="00866E96">
      <w:pPr>
        <w:pStyle w:val="1"/>
        <w:ind w:right="66" w:firstLine="709"/>
        <w:jc w:val="both"/>
      </w:pPr>
      <w:r>
        <w:t>1.4. Абзац пятый пункта 2.6</w:t>
      </w:r>
      <w:r w:rsidRPr="00F378CA">
        <w:t xml:space="preserve"> раздела </w:t>
      </w:r>
      <w:r w:rsidRPr="00F378CA">
        <w:rPr>
          <w:lang w:val="en-US"/>
        </w:rPr>
        <w:t>II</w:t>
      </w:r>
      <w:r w:rsidRPr="00F378CA">
        <w:t xml:space="preserve"> Порядка изложить в следующей редакции:</w:t>
      </w:r>
    </w:p>
    <w:p w:rsidR="002D3E76" w:rsidRDefault="00866E96" w:rsidP="002D3E76">
      <w:pPr>
        <w:pStyle w:val="1"/>
        <w:ind w:right="66" w:firstLine="709"/>
        <w:jc w:val="both"/>
      </w:pPr>
      <w:r w:rsidRPr="00F378CA">
        <w:t>«</w:t>
      </w:r>
      <w:r>
        <w:t xml:space="preserve">Представления направляются в Комиссию не позднее 20 числа месяца после прошедшего месяца, </w:t>
      </w:r>
      <w:r w:rsidRPr="00866E96">
        <w:t>в котором получен результат.</w:t>
      </w:r>
      <w:r w:rsidRPr="00F378CA">
        <w:t xml:space="preserve">». </w:t>
      </w:r>
    </w:p>
    <w:p w:rsidR="006157FF" w:rsidRDefault="00335E38" w:rsidP="002D3E76">
      <w:pPr>
        <w:pStyle w:val="1"/>
        <w:numPr>
          <w:ilvl w:val="0"/>
          <w:numId w:val="1"/>
        </w:numPr>
        <w:ind w:right="66" w:firstLine="560"/>
        <w:jc w:val="both"/>
      </w:pPr>
      <w:bookmarkStart w:id="0" w:name="_GoBack"/>
      <w:bookmarkEnd w:id="0"/>
      <w:r>
        <w:t>Настоящее постановление вступает в силу после его официального опубликования и распространяет свое действие на правоотношения, возникшие с 1 января 2026 года.</w:t>
      </w:r>
    </w:p>
    <w:p w:rsidR="002D3E76" w:rsidRDefault="002D3E76" w:rsidP="002D3E76">
      <w:pPr>
        <w:pStyle w:val="1"/>
        <w:ind w:right="66"/>
        <w:jc w:val="both"/>
      </w:pPr>
    </w:p>
    <w:p w:rsidR="002D3E76" w:rsidRDefault="002D3E76" w:rsidP="002D3E76">
      <w:pPr>
        <w:pStyle w:val="1"/>
        <w:ind w:right="66"/>
        <w:jc w:val="both"/>
      </w:pPr>
    </w:p>
    <w:p w:rsidR="002D3E76" w:rsidRDefault="002D3E76" w:rsidP="002D3E76">
      <w:pPr>
        <w:pStyle w:val="1"/>
        <w:ind w:right="66"/>
        <w:jc w:val="both"/>
      </w:pPr>
    </w:p>
    <w:p w:rsidR="002D3E76" w:rsidRDefault="002D3E76" w:rsidP="002D3E76">
      <w:pPr>
        <w:pStyle w:val="1"/>
        <w:ind w:right="66"/>
        <w:jc w:val="both"/>
      </w:pPr>
    </w:p>
    <w:p w:rsidR="006157FF" w:rsidRDefault="00335E38">
      <w:pPr>
        <w:pStyle w:val="1"/>
        <w:spacing w:after="48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5655310</wp:posOffset>
                </wp:positionH>
                <wp:positionV relativeFrom="paragraph">
                  <wp:posOffset>12700</wp:posOffset>
                </wp:positionV>
                <wp:extent cx="1057910" cy="2527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7FF" w:rsidRDefault="00335E38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t>К.Р.Минулин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45.3pt;margin-top:1pt;width:83.3pt;height:19.9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" filled="f" stroked="f">
                <v:textbox inset="0,0,0,0">
                  <w:txbxContent>
                    <w:p w:rsidR="006157FF" w:rsidRDefault="00335E38">
                      <w:pPr>
                        <w:pStyle w:val="1"/>
                        <w:ind w:firstLine="0"/>
                      </w:pPr>
                      <w:proofErr w:type="spellStart"/>
                      <w:r>
                        <w:t>К.Р.Минулин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Ханты-Мансийского района</w:t>
      </w:r>
    </w:p>
    <w:sectPr w:rsidR="006157FF" w:rsidSect="00F378CA">
      <w:headerReference w:type="default" r:id="rId8"/>
      <w:headerReference w:type="first" r:id="rId9"/>
      <w:pgSz w:w="11900" w:h="16840"/>
      <w:pgMar w:top="1388" w:right="985" w:bottom="1129" w:left="135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40" w:rsidRDefault="00AA6C40">
      <w:r>
        <w:separator/>
      </w:r>
    </w:p>
  </w:endnote>
  <w:endnote w:type="continuationSeparator" w:id="0">
    <w:p w:rsidR="00AA6C40" w:rsidRDefault="00AA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40" w:rsidRDefault="00AA6C40"/>
  </w:footnote>
  <w:footnote w:type="continuationSeparator" w:id="0">
    <w:p w:rsidR="00AA6C40" w:rsidRDefault="00AA6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7FF" w:rsidRDefault="00335E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506730</wp:posOffset>
              </wp:positionV>
              <wp:extent cx="13716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57FF" w:rsidRDefault="00335E38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D3E76" w:rsidRPr="002D3E76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0.5pt;margin-top:39.9pt;width:10.8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zykwEAACADAAAOAAAAZHJzL2Uyb0RvYy54bWysUsFOwzAMvSPxD1HurBsI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" filled="f" stroked="f">
              <v:textbox style="mso-fit-shape-to-text:t" inset="0,0,0,0">
                <w:txbxContent>
                  <w:p w:rsidR="006157FF" w:rsidRDefault="00335E38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D3E76" w:rsidRPr="002D3E76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7FF" w:rsidRDefault="006157F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6E86"/>
    <w:multiLevelType w:val="multilevel"/>
    <w:tmpl w:val="C9FE8C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F4C7B4D"/>
    <w:multiLevelType w:val="multilevel"/>
    <w:tmpl w:val="3574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FF"/>
    <w:rsid w:val="000F62DF"/>
    <w:rsid w:val="001B396B"/>
    <w:rsid w:val="002D3E76"/>
    <w:rsid w:val="00335E38"/>
    <w:rsid w:val="006157FF"/>
    <w:rsid w:val="006917A8"/>
    <w:rsid w:val="006F71A1"/>
    <w:rsid w:val="00701D6C"/>
    <w:rsid w:val="007B7035"/>
    <w:rsid w:val="00866E96"/>
    <w:rsid w:val="008B1B57"/>
    <w:rsid w:val="008D1045"/>
    <w:rsid w:val="00A0722A"/>
    <w:rsid w:val="00AA6C40"/>
    <w:rsid w:val="00C715CF"/>
    <w:rsid w:val="00CF3047"/>
    <w:rsid w:val="00F378CA"/>
    <w:rsid w:val="00F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A607"/>
  <w15:docId w15:val="{BA8C8F31-A37D-429B-A232-BFDA3687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600"/>
      <w:ind w:firstLine="7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character" w:customStyle="1" w:styleId="a6">
    <w:name w:val="Гипертекстовая ссылка"/>
    <w:basedOn w:val="a0"/>
    <w:uiPriority w:val="99"/>
    <w:rsid w:val="00F378CA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378CA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8">
    <w:name w:val="Прижатый влево"/>
    <w:basedOn w:val="a"/>
    <w:next w:val="a"/>
    <w:uiPriority w:val="99"/>
    <w:rsid w:val="00F378CA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9">
    <w:name w:val="No Spacing"/>
    <w:uiPriority w:val="1"/>
    <w:qFormat/>
    <w:rsid w:val="00F378C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8125/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Дубовая Анна Георгиевна</cp:lastModifiedBy>
  <cp:revision>14</cp:revision>
  <dcterms:created xsi:type="dcterms:W3CDTF">2025-10-24T05:40:00Z</dcterms:created>
  <dcterms:modified xsi:type="dcterms:W3CDTF">2026-05-07T08:33:00Z</dcterms:modified>
</cp:coreProperties>
</file>